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F6139" w14:textId="77777777" w:rsidR="00067FD8" w:rsidRPr="006D2CE3" w:rsidRDefault="00067FD8" w:rsidP="00067FD8">
      <w:pPr>
        <w:spacing w:after="100" w:line="312" w:lineRule="auto"/>
        <w:ind w:left="-709" w:right="-766"/>
        <w:rPr>
          <w:lang w:val="el-GR"/>
        </w:rPr>
      </w:pPr>
      <w:r w:rsidRPr="006D2CE3">
        <w:rPr>
          <w:lang w:val="el-GR"/>
        </w:rPr>
        <w:t>Τα προσφερόμενα Είδη πρέπει να καλύπτουν τις τιθέμενες στο Παράρτημα Ι προδιαγραφές</w:t>
      </w:r>
      <w:r>
        <w:rPr>
          <w:lang w:val="el-GR"/>
        </w:rPr>
        <w:t xml:space="preserve"> για την </w:t>
      </w:r>
      <w:r w:rsidRPr="006D2CE3">
        <w:rPr>
          <w:lang w:val="el-GR"/>
        </w:rPr>
        <w:t>«</w:t>
      </w:r>
      <w:r w:rsidRPr="00A5799D">
        <w:rPr>
          <w:lang w:val="el-GR"/>
        </w:rPr>
        <w:t>ΠΡΟΜΗΘΕΙΑ-ΕΓΚΑΤΑΣΤΑΣΗ ΣΤΑΘΜΟΥ ΦΟΡΤΙΣΗΣ ΗΛΕΚΤΡΙΚΩΝ ΟΧΗΜΑΤΩΝ ΣΤΟ ΓΥΜΝΑΣΙΟ-ΛΥΚΕΙΟ ΑΓ. ΜΥΡΩΝΑ ΚΑΙ ΠΡΟΜΗΘΕΙΑ ΗΛΕΚΤΡΙΚΟΥ MINIBUS</w:t>
      </w:r>
      <w:r w:rsidRPr="006D2CE3">
        <w:rPr>
          <w:lang w:val="el-GR"/>
        </w:rPr>
        <w:t>».</w:t>
      </w:r>
      <w:r>
        <w:rPr>
          <w:lang w:val="el-GR"/>
        </w:rPr>
        <w:t xml:space="preserve"> </w:t>
      </w:r>
      <w:r w:rsidRPr="006D2CE3">
        <w:rPr>
          <w:lang w:val="el-GR"/>
        </w:rPr>
        <w:t xml:space="preserve">Η κάλυψη των προδιαγραφών τεκμηριώνεται συμπληρώνοντας τον Πίνακα Συμμόρφωσης με σχετική παραπομπή σε συγκεκριμένο αρχείο που επισυνάπτεται στην τεχνική προσφορά. </w:t>
      </w:r>
    </w:p>
    <w:p w14:paraId="3AA1B6AD" w14:textId="77777777" w:rsidR="00067FD8" w:rsidRPr="006D2CE3" w:rsidRDefault="00067FD8" w:rsidP="00067FD8">
      <w:pPr>
        <w:spacing w:after="100" w:line="312" w:lineRule="auto"/>
        <w:ind w:left="-709" w:right="-766"/>
        <w:rPr>
          <w:lang w:val="el-GR"/>
        </w:rPr>
      </w:pPr>
      <w:r w:rsidRPr="006D2CE3">
        <w:rPr>
          <w:lang w:val="el-GR"/>
        </w:rPr>
        <w:t xml:space="preserve">Η τεχνική προσφορά περιλαμβάνει </w:t>
      </w:r>
      <w:r w:rsidRPr="006D2CE3">
        <w:rPr>
          <w:u w:val="single"/>
          <w:lang w:val="el-GR"/>
        </w:rPr>
        <w:t>επί ποινή αποκλεισμού</w:t>
      </w:r>
      <w:r w:rsidRPr="006D2CE3">
        <w:rPr>
          <w:lang w:val="el-GR"/>
        </w:rPr>
        <w:t xml:space="preserve"> συμπληρωμένο τον Πίνακα Συμμόρφωσης.</w:t>
      </w:r>
    </w:p>
    <w:p w14:paraId="68E9E50F" w14:textId="77777777" w:rsidR="00067FD8" w:rsidRPr="006D2CE3" w:rsidRDefault="00067FD8" w:rsidP="00067FD8">
      <w:pPr>
        <w:spacing w:line="312" w:lineRule="auto"/>
        <w:jc w:val="center"/>
        <w:rPr>
          <w:rFonts w:asciiTheme="minorHAnsi" w:hAnsiTheme="minorHAnsi" w:cstheme="minorHAnsi"/>
          <w:b/>
          <w:sz w:val="24"/>
          <w:u w:val="single"/>
          <w:lang w:val="el-GR"/>
        </w:rPr>
      </w:pPr>
      <w:r w:rsidRPr="006D2CE3">
        <w:rPr>
          <w:rFonts w:asciiTheme="minorHAnsi" w:hAnsiTheme="minorHAnsi" w:cstheme="minorHAnsi"/>
          <w:b/>
          <w:sz w:val="24"/>
          <w:u w:val="single"/>
          <w:lang w:val="el-GR"/>
        </w:rPr>
        <w:t>ΠΙΝΑΚΑΣ ΣΥΜΜΟΡΦΩΣΗΣ</w:t>
      </w:r>
    </w:p>
    <w:tbl>
      <w:tblPr>
        <w:tblW w:w="9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54"/>
        <w:gridCol w:w="1187"/>
        <w:gridCol w:w="1260"/>
        <w:gridCol w:w="2242"/>
      </w:tblGrid>
      <w:tr w:rsidR="00067FD8" w:rsidRPr="00067FD8" w14:paraId="19FF1C84" w14:textId="77777777" w:rsidTr="004E3A7F">
        <w:trPr>
          <w:trHeight w:val="70"/>
          <w:tblHeader/>
          <w:jc w:val="center"/>
        </w:trPr>
        <w:tc>
          <w:tcPr>
            <w:tcW w:w="9843" w:type="dxa"/>
            <w:gridSpan w:val="4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700564F6" w14:textId="77777777" w:rsidR="00067FD8" w:rsidRPr="00C1045C" w:rsidRDefault="00067FD8" w:rsidP="004E3A7F">
            <w:pPr>
              <w:spacing w:before="40" w:after="40"/>
              <w:ind w:right="3781"/>
              <w:rPr>
                <w:rFonts w:asciiTheme="minorHAnsi" w:hAnsiTheme="minorHAnsi" w:cstheme="minorHAnsi"/>
                <w:sz w:val="20"/>
                <w:szCs w:val="20"/>
                <w:u w:val="single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l-GR"/>
              </w:rPr>
              <w:t>Α. ΕΝΑ (1) ΗΛΕΚΤΡΟΚΙΝΗΤΟ ΛΕΩΦΟΡΕΙΟ MINIBUS ΚΑΙ ΕΝΑΣ (1) ΣΤΑΘΜΟΣ ΦΟΡΤΙΣΗΣ ΗΛΕΚΤΡΙΚΩΝ ΟΧΗΜΑΤΩΝ</w:t>
            </w:r>
          </w:p>
        </w:tc>
      </w:tr>
      <w:tr w:rsidR="00067FD8" w:rsidRPr="00C1045C" w14:paraId="12C4245D" w14:textId="77777777" w:rsidTr="004E3A7F">
        <w:trPr>
          <w:tblHeader/>
          <w:jc w:val="center"/>
        </w:trPr>
        <w:tc>
          <w:tcPr>
            <w:tcW w:w="5154" w:type="dxa"/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6AF5C43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ΠΡΟΔΙΑΓΡΑΦΗ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7174C6F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ΑΠΑΙΤΗΣΗ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28020E6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ΑΠΑΝΤΗΣΗ</w:t>
            </w: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CCCCCC"/>
            <w:tcMar>
              <w:left w:w="57" w:type="dxa"/>
              <w:right w:w="57" w:type="dxa"/>
            </w:tcMar>
            <w:vAlign w:val="center"/>
          </w:tcPr>
          <w:p w14:paraId="71EF7E6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ΠΑΡΑΠΟΜΠΗ</w:t>
            </w:r>
          </w:p>
          <w:p w14:paraId="0BD202D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ΤΕΚΜΗΡΙΩΣΗΣ</w:t>
            </w:r>
          </w:p>
        </w:tc>
      </w:tr>
      <w:tr w:rsidR="00067FD8" w:rsidRPr="00C1045C" w14:paraId="4E3DE1A5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B3BBFC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Α.1 ΗΛΕΚΤΡΙΚΟ ΛΕΩΦΟΡΕΙΟ MINIBUS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3F6ED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8CF69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DCE4A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</w:tr>
      <w:tr w:rsidR="00067FD8" w:rsidRPr="00067FD8" w14:paraId="3D289914" w14:textId="77777777" w:rsidTr="004E3A7F">
        <w:trPr>
          <w:trHeight w:val="475"/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06494A" w14:textId="77777777" w:rsidR="00067FD8" w:rsidRPr="00C1045C" w:rsidRDefault="00067FD8" w:rsidP="00067FD8">
            <w:pPr>
              <w:pStyle w:val="a4"/>
              <w:numPr>
                <w:ilvl w:val="0"/>
                <w:numId w:val="1"/>
              </w:numPr>
              <w:suppressAutoHyphens w:val="0"/>
              <w:spacing w:before="40" w:after="40"/>
              <w:contextualSpacing w:val="0"/>
              <w:jc w:val="left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ΑΜΑΞΩΜΑ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ΜΕΤΑΦΟΡΙΚΗ ΙΚΑΝΟΤΗΤΑ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ΕΞΟΠΛΙΣΜΟΣ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ΔΙΑΣΤΑΣΕΙΣ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36674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D2444D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71BB3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</w:tr>
      <w:tr w:rsidR="00067FD8" w:rsidRPr="00C1045C" w14:paraId="60E6A6CA" w14:textId="77777777" w:rsidTr="004E3A7F">
        <w:trPr>
          <w:trHeight w:val="603"/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857B84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Χωρητικότητα Λεωφορείου τουλάχιστον 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εννιά</w:t>
            </w: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 (</w:t>
            </w:r>
            <w:r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>9</w:t>
            </w: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) επιβάτες και επιπλέον τον οδηγό του οχήματος. Να διαθέτει επαρκή χώρο για ένα αναπηρικό </w:t>
            </w:r>
            <w:proofErr w:type="spellStart"/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>αμαξίδιο</w:t>
            </w:r>
            <w:proofErr w:type="spellEnd"/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>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E05C5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42F98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6A8E6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2BE18F6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998042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Ράμπα ΑMEΑ ηλεκτρική ή χειροκίνητη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DA148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5273D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33793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09B5EB3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D05102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Το κάθισμα του οδηγού θα πρέπει να έχει τη δυνατότητα πολλαπλών ρυθμίσεων στήριξης, να διαθέτει προσκέφαλο, ζώνη ασφαλείας, υφασμάτινη ή τύπου δέρματος επένδυση μεγάλης αντοχής &amp; αερόσακο οδηγού.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C0AA0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48638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D20063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FBC955B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8CB007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Ρυθμίσεις Τιμονιού (κλίσης, ύψους, κ.λπ.). Ο πίνακας οργάνων εκτός των συμβατικών οργάνων θα πρέπει να έχει και όλα τα απαραίτητα όργανα πληροφόρησης, για την ηλεκτροκίνηση του λεωφορείου (κατάσταση μπαταριών, χρόνο έως την επόμενη φόρτιση κ.λπ.).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49BC7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CFAC0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071BA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C2D0235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BAAD09" w14:textId="77777777" w:rsidR="00067FD8" w:rsidRPr="00C1045C" w:rsidRDefault="00067FD8" w:rsidP="004E3A7F">
            <w:pPr>
              <w:spacing w:before="40" w:after="40"/>
              <w:rPr>
                <w:rFonts w:asciiTheme="minorHAnsi" w:eastAsia="SimSun" w:hAnsiTheme="minorHAnsi" w:cstheme="minorHAnsi"/>
                <w:color w:val="FF0000"/>
                <w:sz w:val="20"/>
                <w:szCs w:val="20"/>
                <w:lang w:val="el-GR"/>
              </w:rPr>
            </w:pPr>
            <w:bookmarkStart w:id="0" w:name="_Hlk119494684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Σύστημα Κλιματισμού (για οδηγό – καμπίνας)</w:t>
            </w:r>
            <w:bookmarkEnd w:id="0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8CF82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19C23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3DB3F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9788C17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BAAD67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</w:t>
            </w:r>
            <w:bookmarkStart w:id="1" w:name="_Hlk119494669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υνατότητα για πλαϊνή ή/και πίσω πόρτα (εκτός του οδηγού). Επιπλέον, θα υπάρχει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ανοιγόμενο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παράθυρο οδηγού, χειριστήρια εύκολα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προσβάσιμα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, ραδιόφωνο και ψηφιακό σύστημα πολυμέσων.</w:t>
            </w:r>
            <w:bookmarkEnd w:id="1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59B35E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E6F2DC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3B8C0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8773A9" w14:paraId="37EE71DF" w14:textId="77777777" w:rsidTr="004E3A7F">
        <w:trPr>
          <w:trHeight w:val="648"/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A31F21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Ελάχιστες διαστάσεις: </w:t>
            </w:r>
            <w:r w:rsidRPr="00C84D5F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Μήκος 5,9μ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.</w:t>
            </w:r>
            <w:r w:rsidRPr="00C84D5F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Πλάτος 2,0μ. και Ύψος 2,5μ.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EE077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A1F95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E82C0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8773A9" w14:paraId="39AAAE4E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9343C3" w14:textId="77777777" w:rsidR="00067FD8" w:rsidRPr="00C1045C" w:rsidRDefault="00067FD8" w:rsidP="00067FD8">
            <w:pPr>
              <w:pStyle w:val="a4"/>
              <w:numPr>
                <w:ilvl w:val="0"/>
                <w:numId w:val="1"/>
              </w:numPr>
              <w:suppressAutoHyphens w:val="0"/>
              <w:spacing w:before="40" w:after="40"/>
              <w:contextualSpacing w:val="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ΚΙΝΗΤΗΡΑΣ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9B822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DDFF9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A33EB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8773A9" w14:paraId="181A92BF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EDB16A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Ελάχιστη ισχύς λειτουργίας </w:t>
            </w:r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 xml:space="preserve">55 </w:t>
            </w:r>
            <w:proofErr w:type="spellStart"/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>kW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BC097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C52CB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526C8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8773A9" w14:paraId="011C37BC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E7C6E3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/>
                <w:sz w:val="20"/>
                <w:szCs w:val="20"/>
                <w:lang w:val="el-GR"/>
              </w:rPr>
              <w:t xml:space="preserve">Ελάχιστη ροπή λειτουργίας </w:t>
            </w:r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 xml:space="preserve">200 </w:t>
            </w:r>
            <w:proofErr w:type="spellStart"/>
            <w:r w:rsidRPr="00C1045C">
              <w:rPr>
                <w:rFonts w:asciiTheme="minorHAnsi" w:eastAsia="SimSun" w:hAnsiTheme="minorHAnsi" w:cstheme="minorHAnsi"/>
                <w:bCs/>
                <w:color w:val="000000"/>
                <w:sz w:val="20"/>
                <w:szCs w:val="20"/>
                <w:lang w:val="el-GR"/>
              </w:rPr>
              <w:t>Nm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9E3DF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BB960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7762F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EA24129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92DBE6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Ταχύτητα ≥ 70 χλμ./ώρα 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0ACDA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80C03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5A209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0F7821B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AAB416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ΜΠΑΤΑΡΙΑ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/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ΦΟΡΤΙΣΗΣ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CB82F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6B0DF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02F82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78F69C3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4722A4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Χωρητικότητα </w:t>
            </w:r>
            <w:r w:rsidRPr="00C84D5F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Συσσωρευτή ≥ 50 </w:t>
            </w:r>
            <w:proofErr w:type="spellStart"/>
            <w:r w:rsidRPr="00C84D5F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kWh</w:t>
            </w:r>
            <w:proofErr w:type="spellEnd"/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08EFC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E47FF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0ED1B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4BCA597" w14:textId="77777777" w:rsidTr="004E3A7F">
        <w:trPr>
          <w:jc w:val="center"/>
        </w:trPr>
        <w:tc>
          <w:tcPr>
            <w:tcW w:w="5154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D93E58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Αυτονομία ≥ 150 χλμ./φόρτιση</w:t>
            </w:r>
          </w:p>
        </w:tc>
        <w:tc>
          <w:tcPr>
            <w:tcW w:w="1187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39B46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C98AC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DD240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7EE3B27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298BC5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Τριφασικός, ενσωματωμένος φορτιστής 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≥ </w:t>
            </w:r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7 </w:t>
            </w:r>
            <w:proofErr w:type="spellStart"/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>kW</w:t>
            </w:r>
            <w:proofErr w:type="spellEnd"/>
            <w:r w:rsidRPr="00C1045C">
              <w:rPr>
                <w:rFonts w:asciiTheme="minorHAnsi" w:hAnsiTheme="minorHAnsi" w:cstheme="minorHAnsi"/>
                <w:color w:val="090C0C"/>
                <w:sz w:val="20"/>
                <w:szCs w:val="20"/>
                <w:shd w:val="clear" w:color="auto" w:fill="FFFFFF"/>
                <w:lang w:val="el-GR"/>
              </w:rPr>
              <w:t xml:space="preserve"> AC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E3A60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666EB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B1E6C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2465BDD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60141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bookmarkStart w:id="2" w:name="_Hlk119495103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lastRenderedPageBreak/>
              <w:t xml:space="preserve">Δυνατότητα φόρτισης με εξωτερικό φορτιστή τουλάχιστον με ≥ 22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kW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bookmarkEnd w:id="2"/>
            <w:r w:rsidRPr="00C1045C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AC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F0B1A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DDBCC4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378DC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C9040F5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3F07F3" w14:textId="77777777" w:rsidR="00067FD8" w:rsidRPr="00C1045C" w:rsidRDefault="00067FD8" w:rsidP="004E3A7F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Χρόνος φόρτισης έως 8 ώρες (με 7kW AC)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D20C6E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7A51C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A0D17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257DB84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18CD79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Ηλεκτρονικό σύστημα ανάκτησης ενέργειας (κατά την διάρκεια φρεναρίσματος &amp; επιβράδυνσης του οχήματος – </w:t>
            </w:r>
            <w:bookmarkStart w:id="3" w:name="_Hlk119495368"/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regenerative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braking</w:t>
            </w:r>
            <w:proofErr w:type="spellEnd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)</w:t>
            </w:r>
            <w:bookmarkEnd w:id="3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38F65F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47616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6FF6B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BEB96E7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8D0A21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ΠΕΔΗΣΗΣ / ΦΡΕΝΑ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CA702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3D4BA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8D1F0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30D4AA3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08C31A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bookmarkStart w:id="4" w:name="_Hlk119495508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Υδραυλικό σύστημα με δισκόφρενα, ABS με EBD, σύστημα ευστάθειας, </w:t>
            </w:r>
            <w:proofErr w:type="spellStart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κτλ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bookmarkEnd w:id="4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31BC9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1C1E1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FBBCF5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3570336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F544DA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Χειρόφρενο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5F3FE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24540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B907E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D90D07B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71E3FF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ΜΕΤΑΔΟΣΗΣ ΚΙΝΗΣΗΣ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4469B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98F85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7BC71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34B9B210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9B01E2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Αυτόματο Κιβώτιο Ταχυτήτων (μιας σχέσης)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A4170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14AF9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A1800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0456CFA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F0CCA7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  <w:lang w:val="el-GR"/>
              </w:rPr>
            </w:pPr>
            <w:bookmarkStart w:id="5" w:name="_Hlk119495440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Αναρριχητική Ικανότητα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≥15 %</w:t>
            </w:r>
            <w:bookmarkEnd w:id="5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E80F6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A3384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B4058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31847B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72979A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ΔΙΕΥΘΥΝΣΗΣ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2EAE4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E0067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B652A6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AD9DD59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854953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Τιμόνι στα αριστερά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5AAE0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D2F0D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16E986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3704B20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0D53B5" w14:textId="77777777" w:rsidR="00067FD8" w:rsidRPr="00C1045C" w:rsidRDefault="00067FD8" w:rsidP="004E3A7F">
            <w:pPr>
              <w:spacing w:before="40" w:after="40"/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 xml:space="preserve">Τιμόνι υδραυλικό ή ηλεκτρικά υποβοηθούμενο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511F5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2B5B1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52541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43D4174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FEC585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ΣΥΣΤΗΜΑ ΑΝΑΡΤΗΣΗΣ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EC505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D1F47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9C462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54944466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04EAC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Cs/>
                <w:sz w:val="20"/>
                <w:szCs w:val="20"/>
                <w:lang w:val="el-GR"/>
              </w:rPr>
              <w:t>Ανεξάρτητου τύπου ανάρτηση εμπρός / πίσω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0B1082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2928AD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E66A9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133BB41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710EE92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ΕΓΓΥΗΣΕΙΣ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9D37F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D7A0D2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56562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5F6F4133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A3A971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Δύο (2) έτη εγγύηση Οχήματος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A8459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81ACA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C89E5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32DDEBD6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A253A50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Για τις μπαταρίες και το σύστημα φόρτισης του οχήματος η εγγύηση καλής λειτουργίας θα πρέπει να είναι πέντε (5) έτη ή 100.000 χιλιόμετρα, όποιο από τα δύο παρέλθει πρώτο.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3AE16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E6448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DF982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59F61EB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6AD4364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bookmarkStart w:id="6" w:name="_Hlk119495889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Δώδεκα (12) έτη εγγύηση αμαξώματος κατά της διάτρησης</w:t>
            </w:r>
            <w:bookmarkEnd w:id="6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FF143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7B7675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05050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4E9DB6D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7C55EE" w14:textId="77777777" w:rsidR="00067FD8" w:rsidRPr="00C1045C" w:rsidRDefault="00067FD8" w:rsidP="004E3A7F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Για την περίοδο εγγυημένης λειτουργίας ο ανάδοχος:</w:t>
            </w:r>
          </w:p>
          <w:p w14:paraId="72F951F7" w14:textId="77777777" w:rsidR="00067FD8" w:rsidRPr="00C1045C" w:rsidRDefault="00067FD8" w:rsidP="00067FD8">
            <w:pPr>
              <w:pStyle w:val="a4"/>
              <w:numPr>
                <w:ilvl w:val="0"/>
                <w:numId w:val="2"/>
              </w:numPr>
              <w:suppressAutoHyphens w:val="0"/>
              <w:autoSpaceDE w:val="0"/>
              <w:autoSpaceDN w:val="0"/>
              <w:adjustRightInd w:val="0"/>
              <w:spacing w:before="40" w:after="40"/>
              <w:ind w:left="0"/>
              <w:contextualSpacing w:val="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Ευθύνεται για την καλή λειτουργία όλων των ειδών της προμήθειας</w:t>
            </w:r>
          </w:p>
          <w:p w14:paraId="61CA6E02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Προβαίνει στην προβλεπόμενη συντήρηση και την αποκατάσταση κάθε βλάβης με έντεχνο τρόπο και σε εύλογο χρόνο σε συνεννόηση με την αναθέτουσα αρχή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EB378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BE89C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B8F05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B9B0E9D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93D4E9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Δεκαετής (10) Διαθεσιμότητα Ανταλλακτικών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5BF99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81DA2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9B305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FD7C9D5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8C8B08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ΒΙΒΛΙΑ ΚΑΤΑΣΚΕΥΑΣΤΗ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BE7E4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FE875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9AD48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8DF3BEF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66D037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Εγχειρίδιο Οδηγιών Χρήσης &amp; Συντήρησης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4E8DA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9DC21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2BFEE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378380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70B335D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Ελληνική ή Αγγλική Γλώσσα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BE541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AC15D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CF017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513C3C1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0B344C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ΕΚΠΑΙΔΕΥΣΗ ΠΡΟΣΩΠΙΚΟΥ ΔΗΜΟΥ ΗΡΑΚΛΕΙΟΥ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E21ED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BC56EF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03F3CF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7C26AD4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4970AB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Εκπαίδευση προσωπικού με κόστος του αναδόχου σύμφωνα με τα οριζόμενα στο Παράρτημα Ι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743AB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FE771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42AC48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24FCAD9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88FD30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ΠΡΟΤΥΠΑ ΚΑΙ ΛΟΙΠΕΣ ΑΠΑΙΤΗΣΕΙΣ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6600C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3923D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21D75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88E3550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25CC49" w14:textId="77777777" w:rsidR="00067FD8" w:rsidRPr="00C1045C" w:rsidRDefault="00067FD8" w:rsidP="004E3A7F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Το όχημα θα φέρει υποχρεωτικά, φαρμακείο, πυροσβεστήρα και τρίγωνο κατά Κ.Ο.Κ. και βασικά εργαλεία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1AE41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DADECF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68EE6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76C5659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A026BE" w14:textId="77777777" w:rsidR="00067FD8" w:rsidRPr="00C1045C" w:rsidRDefault="00067FD8" w:rsidP="004E3A7F">
            <w:pPr>
              <w:autoSpaceDE w:val="0"/>
              <w:autoSpaceDN w:val="0"/>
              <w:adjustRightInd w:val="0"/>
              <w:spacing w:before="40" w:after="40"/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lang w:val="el-GR"/>
              </w:rPr>
            </w:pPr>
            <w:bookmarkStart w:id="7" w:name="_Hlk119496075"/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lastRenderedPageBreak/>
              <w:t>Ο Ανάδοχος, κατά την παράδοση του λεωφορείου, θα παραδώσει το απαιτούμενο υλικό που συνοδεύει το όχημα, όπως ευρωπαϊκή έγκριση τύπου ή ό,τι άλλο έγγραφο/πιστοποίηση απαιτείται, ώστε ο Δήμος να προχωρήσει στην έκδοση της άδειας κυκλοφορίας και πινακίδων του λεωφορείου.</w:t>
            </w:r>
            <w:bookmarkEnd w:id="7"/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FAF0F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FBC29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65334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3A84E99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2397957" w14:textId="77777777" w:rsidR="00067FD8" w:rsidRPr="00C1045C" w:rsidRDefault="00067FD8" w:rsidP="00067FD8">
            <w:pPr>
              <w:pStyle w:val="a3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/>
              </w:rPr>
              <w:t>ΧΡΩΜΑ / ΛΟΓΟΤΥΠΑ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F0AC6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122B2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0D70A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38B19333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DC34CD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Το χρώμα θα ορισθεί από τον Δήμο Ηρακλείου κατόπιν συνεννόησης με τον ανάδοχο.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E261A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C8506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C257D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9F2EC8A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68E42C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Τα λογότυπα που θα φέρουν τα λεωφορεία θα ορισθούν κατόπιν συνεννοήσεως με την Αναθέτουσα Αρχή 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061AE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426B6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20233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E535BF9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692686" w14:textId="77777777" w:rsidR="00067FD8" w:rsidRPr="00C1045C" w:rsidRDefault="00067FD8" w:rsidP="004E3A7F">
            <w:pPr>
              <w:pStyle w:val="a3"/>
              <w:overflowPunct w:val="0"/>
              <w:autoSpaceDE w:val="0"/>
              <w:autoSpaceDN w:val="0"/>
              <w:adjustRightInd w:val="0"/>
              <w:spacing w:before="40" w:after="40"/>
              <w:jc w:val="left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F7CBF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58315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69F7C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7E67691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EFC084B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  <w:lang w:val="el-GR"/>
              </w:rPr>
              <w:t>Α.2 ΣΤΑΘΜΟΣ ΦΟΡΤΙΣΗΣ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5D6FED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FC210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8CD57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3875F5D4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5FA34B" w14:textId="77777777" w:rsidR="00067FD8" w:rsidRPr="00C1045C" w:rsidRDefault="00067FD8" w:rsidP="004E3A7F">
            <w:pPr>
              <w:spacing w:before="40" w:after="40"/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Σταθμός φόρτισης 2x22 </w:t>
            </w:r>
            <w:proofErr w:type="spellStart"/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>kW</w:t>
            </w:r>
            <w:proofErr w:type="spellEnd"/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AC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084F9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E1F11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EA601D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537E4AC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648FD2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eastAsia="SimSun" w:hAnsiTheme="minorHAnsi" w:cstheme="minorHAnsi"/>
                <w:color w:val="000000" w:themeColor="text1"/>
                <w:sz w:val="20"/>
                <w:szCs w:val="20"/>
                <w:lang w:val="el-GR"/>
              </w:rPr>
              <w:t>Καινούργιος και σε πλήρη λειτουργική κατάσταση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EE41E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633A38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BD677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FC20CFB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4C9883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u w:val="single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Δυνατότητα ταυτόχρονης φόρτισης δύο ηλεκτρικών αυτοκινήτων, σύμφωνα με τη Μέθοδο 3 (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Mode</w:t>
            </w:r>
            <w:proofErr w:type="spellEnd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3)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83C78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789B20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805EC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0D1AB6C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78D498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Δυνατότητα τροφοδοσίας από μία παροχή 22kW ΑC με μηχανισμό διαμοιρασμού της διαθέσιμης ισχύος μεταξύ των δύο ρευματοδοτών κατά τη διάρκεια ταυτόχρονης φόρτισης δύο αυτοκινήτων με μέγιστη ισχύ φόρτισης 11kW/όχημα ή τη φόρτιση ενός οχήματος μέχρι και με 22kW AC.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080BC2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BE5A4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29A9EF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6598F77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AA1678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Δύο ρευματοδότες Τύπου 2, σύμφωνα με το πρότυπο IEC 62196-2, με μέγιστη ονομαστική ισχύ εξόδου 22kW ανά ρευματοδότη και μέγιστο ρεύμα 32 Α ανά φάση για κάθε ρευματοδότη.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2CB0F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8DD67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B6A3C5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E4B7A3C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85B9795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Καπάκι προστασίας σε κάθε ρευματοδότη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D2FDC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5F970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F320DE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67AE885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9D0F30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Προστασία σταθμού φόρτισης κατ’ ελάχιστον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 </w:t>
            </w: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IP 54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5C718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7C917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E4CC3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48C07D98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436F2E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Βαθμός αντοχής σε κρούση IK 08 κατ’ ελάχιστον, αλλά ΙΚ10 στην πρόσοψη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1292A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29072E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959D4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2643FC9D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B9F1C45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Πρόνοιες και απαραίτητες διατάξεις ασφαλείας για ηλεκτρολογική εγκατάσταση εκτεθειμένη στο εξωτερικό περιβάλλον και στους περαστικούς.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0C33B2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928091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F1472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73473D86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3ECB29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Ικανότητα για λειτουργία σε εύρος θερμοκρασίας: - 25°C μέχρι +50°C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04993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077C5F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DF1E0B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5ACB7B1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10248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Ικανότητα για λειτουργία σε εύρος σχετικής υγρασίας: 4%-95%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57448F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EE0E26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A1865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5F6B57DF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0FB860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Για κάθε ρευματοδότη ενσωματωμένος μετρητής ενέργειας με πιστοποίηση ΜID, σύμφωνα με την Οδηγία 2014/32 EU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2101C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4D42DE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0B453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12318B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41700BF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 xml:space="preserve">Να υποστηρίζεται με σύστημα παρακολούθησης κατανάλωσης ηλεκτρικής ενέργειας: Διασύνδεση με διαδικτυακή πλατφόρμα η οποία θα διαθέτει υπηρεσία αποθήκευσης μετρήσεων κατανάλωσης ενέργειας σε ωριαία βάση και σε βάθος χρόνου τουλάχιστον τριάντα (30) ημερών, υπηρεσία αναμετάδοσης των μετρήσεων κατανάλωσης </w:t>
            </w: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lastRenderedPageBreak/>
              <w:t xml:space="preserve">ενέργειας και υπηρεσία </w:t>
            </w:r>
            <w:proofErr w:type="spellStart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οπτικοποίησης</w:t>
            </w:r>
            <w:proofErr w:type="spellEnd"/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, διαχείρισης και εξαγωγής των μετρήσεων κατανάλωσης ενέργειας σε χρονικό βήμα και σε βάθος χρόνου (τουλάχιστον εντός των προαναφερόμενων δυνατοτήτων χρονικού βήματος και βάθος χρόνου) κατά βούληση του χρήστη μέσω Η/Υ.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84671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lastRenderedPageBreak/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73D709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0D73E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0462F9BD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78E5A0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Εφαρμογή των λογοτύπων που θα υποδειχθούν από την Αναθέτουσα Αρχή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0DF23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112A9B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066525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5E32E24E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136B19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Εγχειρίδιο με οδηγίες και ειδικές απαιτήσεις χρήσης και συντήρησης του σταθμού φόρτισης στην Ελληνική γλώσσα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009B1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498DC1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CFEFE4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2C24F1B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20BA6D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Εκπαίδευση προσωπικού που θα υποδείξει η Αναθέτουσα Αρχή με κόστος του αναδόχου σύμφωνα με τα οριζόμενα στο Παράρτημα Ι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9CDD9C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EE86BB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CB3A4B3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  <w:tr w:rsidR="00067FD8" w:rsidRPr="00C1045C" w14:paraId="1A3F8A20" w14:textId="77777777" w:rsidTr="004E3A7F">
        <w:trPr>
          <w:jc w:val="center"/>
        </w:trPr>
        <w:tc>
          <w:tcPr>
            <w:tcW w:w="515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3617DD3" w14:textId="77777777" w:rsidR="00067FD8" w:rsidRPr="00C1045C" w:rsidRDefault="00067FD8" w:rsidP="004E3A7F">
            <w:pPr>
              <w:spacing w:before="40" w:after="4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l-GR"/>
              </w:rPr>
              <w:t>Εγγύηση καλής λειτουργίας 36 μηνών του κατασκευαστή του φορτιστή</w:t>
            </w:r>
          </w:p>
        </w:tc>
        <w:tc>
          <w:tcPr>
            <w:tcW w:w="1187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24D847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</w:pPr>
            <w:r w:rsidRPr="00C1045C">
              <w:rPr>
                <w:rFonts w:asciiTheme="minorHAnsi" w:hAnsiTheme="minorHAnsi" w:cstheme="minorHAnsi"/>
                <w:b/>
                <w:sz w:val="20"/>
                <w:szCs w:val="20"/>
                <w:lang w:val="el-GR"/>
              </w:rPr>
              <w:t>ΝΑΙ</w:t>
            </w:r>
          </w:p>
        </w:tc>
        <w:tc>
          <w:tcPr>
            <w:tcW w:w="126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689E05A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  <w:tc>
          <w:tcPr>
            <w:tcW w:w="2242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70BE40" w14:textId="77777777" w:rsidR="00067FD8" w:rsidRPr="00C1045C" w:rsidRDefault="00067FD8" w:rsidP="004E3A7F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el-GR"/>
              </w:rPr>
            </w:pPr>
          </w:p>
        </w:tc>
      </w:tr>
    </w:tbl>
    <w:p w14:paraId="12A29E2E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039B192A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70211A8D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41047933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63AA7B9B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1E54E099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393907A7" w14:textId="77777777" w:rsidR="00067FD8" w:rsidRPr="006D2CE3" w:rsidRDefault="00067FD8" w:rsidP="00067FD8">
      <w:pPr>
        <w:spacing w:after="0"/>
        <w:rPr>
          <w:rFonts w:asciiTheme="minorHAnsi" w:hAnsiTheme="minorHAnsi" w:cstheme="minorHAnsi"/>
          <w:lang w:val="el-GR"/>
        </w:rPr>
      </w:pPr>
    </w:p>
    <w:p w14:paraId="34092B13" w14:textId="77777777" w:rsidR="00AF609C" w:rsidRDefault="00AF609C"/>
    <w:sectPr w:rsidR="00AF609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826221"/>
    <w:multiLevelType w:val="hybridMultilevel"/>
    <w:tmpl w:val="760C14FC"/>
    <w:lvl w:ilvl="0" w:tplc="521C8B56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bCs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8D87013"/>
    <w:multiLevelType w:val="hybridMultilevel"/>
    <w:tmpl w:val="A760BB1C"/>
    <w:lvl w:ilvl="0" w:tplc="4A1CA3C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A2E"/>
    <w:rsid w:val="00067FD8"/>
    <w:rsid w:val="00AF609C"/>
    <w:rsid w:val="00C5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246344-A7DF-493F-BF99-C6732D8D1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7FD8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qFormat/>
    <w:rsid w:val="00067FD8"/>
    <w:pPr>
      <w:spacing w:after="240"/>
    </w:pPr>
  </w:style>
  <w:style w:type="character" w:customStyle="1" w:styleId="Char">
    <w:name w:val="Σώμα κειμένου Char"/>
    <w:basedOn w:val="a0"/>
    <w:link w:val="a3"/>
    <w:uiPriority w:val="99"/>
    <w:rsid w:val="00067FD8"/>
    <w:rPr>
      <w:rFonts w:ascii="Calibri" w:eastAsia="Times New Roman" w:hAnsi="Calibri" w:cs="Calibri"/>
      <w:szCs w:val="24"/>
      <w:lang w:val="en-GB" w:eastAsia="zh-CN"/>
    </w:rPr>
  </w:style>
  <w:style w:type="paragraph" w:styleId="a4">
    <w:name w:val="List Paragraph"/>
    <w:aliases w:val="Γράφημα,Kommentar,FooterText,numbered,Paragraphe de liste1,lp1,Diligence Check,Bullet2,Bullet21,bl1,Bullet22,Bullet23,Bullet211,Bullet24,Bullet25,Bullet26,Bullet27,bl11,Bullet212,Bullet28,bl12,Bullet213,Bullet29,bl13,Bullet214,bl14"/>
    <w:basedOn w:val="a"/>
    <w:link w:val="Char0"/>
    <w:uiPriority w:val="34"/>
    <w:qFormat/>
    <w:rsid w:val="00067FD8"/>
    <w:pPr>
      <w:spacing w:after="200"/>
      <w:ind w:left="720"/>
      <w:contextualSpacing/>
    </w:pPr>
    <w:rPr>
      <w:rFonts w:cs="Times New Roman"/>
    </w:rPr>
  </w:style>
  <w:style w:type="character" w:customStyle="1" w:styleId="Char0">
    <w:name w:val="Παράγραφος λίστας Char"/>
    <w:aliases w:val="Γράφημα Char,Kommentar Char,FooterText Char,numbered Char,Paragraphe de liste1 Char,lp1 Char,Diligence Check Char,Bullet2 Char,Bullet21 Char,bl1 Char,Bullet22 Char,Bullet23 Char,Bullet211 Char,Bullet24 Char,Bullet25 Char,bl11 Char"/>
    <w:link w:val="a4"/>
    <w:uiPriority w:val="34"/>
    <w:qFormat/>
    <w:rsid w:val="00067FD8"/>
    <w:rPr>
      <w:rFonts w:ascii="Calibri" w:eastAsia="Times New Roman" w:hAnsi="Calibri" w:cs="Times New Roman"/>
      <w:szCs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985</Words>
  <Characters>5323</Characters>
  <Application>Microsoft Office Word</Application>
  <DocSecurity>0</DocSecurity>
  <Lines>44</Lines>
  <Paragraphs>12</Paragraphs>
  <ScaleCrop>false</ScaleCrop>
  <Company/>
  <LinksUpToDate>false</LinksUpToDate>
  <CharactersWithSpaces>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2</cp:revision>
  <dcterms:created xsi:type="dcterms:W3CDTF">2023-10-27T07:22:00Z</dcterms:created>
  <dcterms:modified xsi:type="dcterms:W3CDTF">2023-10-27T07:22:00Z</dcterms:modified>
</cp:coreProperties>
</file>