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6039" w14:textId="77777777" w:rsidR="003800A9" w:rsidRPr="001513B6" w:rsidRDefault="003800A9" w:rsidP="003800A9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76" w:lineRule="auto"/>
        <w:jc w:val="both"/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</w:pPr>
      <w:bookmarkStart w:id="0" w:name="_Toc73010816"/>
      <w:r w:rsidRPr="001513B6"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  <w:t>ΠΑΡΑΡΤΗΜΑ ΤΕΥΧΟΥΣ ΔΙΑΓΩΝΙΣΜΟΥ ΙΙ –  ΦΥΛΛΟ ΣΥΜΜΟΡΦΩΣΗΣ ΜΕ ΤΕΧΝΙΚΕΣ ΠΡΟΔΙΑΓΡΑΦΕΣ</w:t>
      </w:r>
      <w:bookmarkEnd w:id="0"/>
    </w:p>
    <w:p w14:paraId="22A456AE" w14:textId="77777777" w:rsidR="003800A9" w:rsidRDefault="003800A9" w:rsidP="003800A9">
      <w:pPr>
        <w:spacing w:after="0"/>
      </w:pPr>
    </w:p>
    <w:p w14:paraId="159E2150" w14:textId="77777777" w:rsidR="003800A9" w:rsidRDefault="003800A9" w:rsidP="003800A9">
      <w:pPr>
        <w:jc w:val="both"/>
      </w:pPr>
      <w:r>
        <w:t xml:space="preserve">Ο υποψήφιος Ανάδοχος συμπληρώνει τους παρακάτω πίνακες συμμόρφωσης με την απόλυτη ευθύνη της ακρίβειας των δεδομένων. </w:t>
      </w:r>
    </w:p>
    <w:p w14:paraId="6E70B434" w14:textId="77777777" w:rsidR="003800A9" w:rsidRDefault="003800A9" w:rsidP="003800A9">
      <w:pPr>
        <w:jc w:val="both"/>
      </w:pPr>
      <w:r>
        <w:t>Στη Στήλη «ΠΡΟΔΙΑΓΡΑΦΗ-ΠΕΡΙΓΡΑΦΗ…», περιγράφονται αναλυτικά οι αντίστοιχοι τεχνικοί όροι υποχρεώσεις ή επεξηγήσεις για τα οποία θα πρέπει να δοθούν αντίστοιχες απαντήσεις.</w:t>
      </w:r>
    </w:p>
    <w:p w14:paraId="74BE2D4B" w14:textId="77777777" w:rsidR="003800A9" w:rsidRDefault="003800A9" w:rsidP="003800A9">
      <w:pPr>
        <w:jc w:val="both"/>
      </w:pPr>
      <w:r>
        <w:t>Στη στήλη «ΑΠΑΙΤΗΣΗ» έχει συμπληρωθεί η λέξη «ΝΑΙ», που σημαίνει ότι η αντίστοιχη προδιαγραφή είναι υποχρεωτική για τον Ανάδοχο επί ποινή αποκλεισμού, θεωρούμενη ως απαράβατος όρος σύμφωνα με την παρούσα διακήρυξη. Προσφορές που δεν καλύπτουν πλήρως απαράβατους όρους απορρίπτονται ως μη αποδεκτές.</w:t>
      </w:r>
    </w:p>
    <w:p w14:paraId="3EDC8092" w14:textId="77777777" w:rsidR="003800A9" w:rsidRDefault="003800A9" w:rsidP="003800A9">
      <w:pPr>
        <w:jc w:val="both"/>
      </w:pPr>
      <w:r>
        <w:t>Αν η στήλη «ΑΠΑΙΤΗΣΗ» δεν έχει συμπληρωθεί με τη λέξη «ΝΑΙ» ή με κάποιον αριθμό, τότε η προδιαγραφή είναι επιθυμητή και όχι υποχρεωτική. Προσφορές που δεν καλύπτουν μη υποχρεωτικούς όρους ή αποκλίνουν από αυτούς δεν απορρίπτονται.</w:t>
      </w:r>
    </w:p>
    <w:p w14:paraId="2C3D314A" w14:textId="77777777" w:rsidR="003800A9" w:rsidRDefault="003800A9" w:rsidP="003800A9">
      <w:pPr>
        <w:jc w:val="both"/>
      </w:pPr>
      <w:r>
        <w:t>Στη στήλη «ΑΠΑΝΤΗΣΗ» σημειώνεται η απάντηση του Αναδόχου που έχει τη μορφή ΝΑΙ/ΟΧΙ/ΥΠΕΡ εάν η αντίστοιχη προδιαγραφή πληρούνται ή όχι ή υπερκαλύπτεται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εκπλήρωσης της προδιαγραφής και η Επιτροπή αξιολόγησης έχει την υποχρέωση ελέγχου και επιβεβαίωσης της απαίτησης.</w:t>
      </w:r>
    </w:p>
    <w:p w14:paraId="4298ABF7" w14:textId="77777777" w:rsidR="003800A9" w:rsidRDefault="003800A9" w:rsidP="003800A9">
      <w:pPr>
        <w:jc w:val="both"/>
      </w:pPr>
      <w:r>
        <w:t>Στη στήλη «ΠΑΡΑΠΟΜΠΗ» θα καταγραφεί η σαφής παραπομπή σε αντίστοιχο τεχνικό φυλλάδιο του κατασκευαστή ή αναλυτική τεχνική περιγραφή του εξοπλισμού λογισμικού ή της υπηρεσίας, ή του τρόπου διασύνδεσης και λειτουργίας, ή αναφορές μεθοδολογίας εγκατάστασης, υποστήριξης και εκπαίδευσης κ.λπ.. που θα παρατεθούν σε αντίστοιχο παράρτημα της τεχνικής προσφοράς.</w:t>
      </w:r>
    </w:p>
    <w:p w14:paraId="7609F287" w14:textId="77777777" w:rsidR="003800A9" w:rsidRDefault="003800A9" w:rsidP="003800A9">
      <w:pPr>
        <w:jc w:val="both"/>
      </w:pPr>
      <w:r>
        <w:t>Σε περίπτωση που δεν έχει απαντηθεί οποιοσδήποτε όρος των πινάκων τότε η απάντηση θεωρείται αρνητική.</w:t>
      </w:r>
    </w:p>
    <w:p w14:paraId="14BFCA7B" w14:textId="3037CAAA" w:rsidR="006D3BA0" w:rsidRDefault="006D3BA0"/>
    <w:p w14:paraId="6766B080" w14:textId="698E090C" w:rsidR="003800A9" w:rsidRDefault="003800A9"/>
    <w:p w14:paraId="08FDF671" w14:textId="7325EA83" w:rsidR="003800A9" w:rsidRDefault="003800A9">
      <w:r>
        <w:br w:type="page"/>
      </w:r>
    </w:p>
    <w:p w14:paraId="4B6109D5" w14:textId="77777777" w:rsidR="003800A9" w:rsidRDefault="003800A9" w:rsidP="003800A9">
      <w:pPr>
        <w:widowControl w:val="0"/>
        <w:jc w:val="center"/>
      </w:pPr>
      <w:r>
        <w:rPr>
          <w:b/>
          <w:color w:val="000000"/>
          <w:sz w:val="24"/>
          <w:szCs w:val="24"/>
        </w:rPr>
        <w:lastRenderedPageBreak/>
        <w:t>ΦΥΛΛΟ ΣΥΜΜΟΡΦΩΣΗΣ</w:t>
      </w:r>
      <w:r>
        <w:t xml:space="preserve"> </w:t>
      </w:r>
    </w:p>
    <w:p w14:paraId="64C31AED" w14:textId="77777777" w:rsidR="003800A9" w:rsidRPr="00345E91" w:rsidRDefault="003800A9" w:rsidP="003800A9">
      <w:pPr>
        <w:widowControl w:val="0"/>
        <w:spacing w:after="0"/>
        <w:jc w:val="center"/>
        <w:rPr>
          <w:b/>
          <w:color w:val="000000"/>
        </w:rPr>
      </w:pPr>
      <w:r w:rsidRPr="00345E91">
        <w:rPr>
          <w:b/>
          <w:color w:val="000000"/>
        </w:rPr>
        <w:t>«</w:t>
      </w:r>
      <w:r>
        <w:rPr>
          <w:b/>
          <w:color w:val="000000"/>
        </w:rPr>
        <w:t>Διοργάνωση</w:t>
      </w:r>
      <w:r w:rsidRPr="00345E91">
        <w:rPr>
          <w:b/>
          <w:color w:val="000000"/>
        </w:rPr>
        <w:t xml:space="preserve"> “«</w:t>
      </w:r>
      <w:r w:rsidRPr="005A4379">
        <w:rPr>
          <w:b/>
          <w:color w:val="000000"/>
          <w:lang w:val="en-US"/>
        </w:rPr>
        <w:t>HERAKLION</w:t>
      </w:r>
      <w:r w:rsidRPr="00345E91">
        <w:rPr>
          <w:b/>
          <w:color w:val="000000"/>
        </w:rPr>
        <w:t xml:space="preserve"> </w:t>
      </w:r>
      <w:r w:rsidRPr="005A4379">
        <w:rPr>
          <w:b/>
          <w:color w:val="000000"/>
          <w:lang w:val="en-US"/>
        </w:rPr>
        <w:t>GASTRONOMY</w:t>
      </w:r>
      <w:r w:rsidRPr="00345E91">
        <w:rPr>
          <w:b/>
          <w:color w:val="000000"/>
        </w:rPr>
        <w:t xml:space="preserve"> </w:t>
      </w:r>
      <w:r w:rsidRPr="005A4379">
        <w:rPr>
          <w:b/>
          <w:color w:val="000000"/>
          <w:lang w:val="en-US"/>
        </w:rPr>
        <w:t>FESTIVAL</w:t>
      </w:r>
      <w:r w:rsidRPr="00345E91">
        <w:rPr>
          <w:b/>
          <w:color w:val="000000"/>
        </w:rPr>
        <w:t xml:space="preserve">»  </w:t>
      </w:r>
    </w:p>
    <w:p w14:paraId="38A12876" w14:textId="12BB52C4" w:rsidR="003800A9" w:rsidRDefault="003800A9" w:rsidP="003800A9">
      <w:pPr>
        <w:widowControl w:val="0"/>
        <w:rPr>
          <w:color w:val="000000"/>
        </w:rPr>
      </w:pPr>
      <w:r>
        <w:rPr>
          <w:color w:val="000000"/>
        </w:rPr>
        <w:t xml:space="preserve">Του/της …………………………………………………έδρα………………………………..……………………………………………………………………………………………………………………, Οδός………………………………………. ……………………………... </w:t>
      </w:r>
      <w:proofErr w:type="spellStart"/>
      <w:r>
        <w:rPr>
          <w:color w:val="000000"/>
        </w:rPr>
        <w:t>αριθμ</w:t>
      </w:r>
      <w:proofErr w:type="spellEnd"/>
      <w:r>
        <w:rPr>
          <w:color w:val="000000"/>
        </w:rPr>
        <w:t xml:space="preserve">…………., Τ.Κ. …………,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…………………., ΦΑΞ…………………….. 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ηλεκτρονικού ταχυδρομείου:…………………………………………………………………………….</w:t>
      </w:r>
    </w:p>
    <w:p w14:paraId="3762F6FB" w14:textId="77777777" w:rsidR="003800A9" w:rsidRDefault="003800A9" w:rsidP="003800A9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191"/>
        <w:gridCol w:w="1246"/>
        <w:gridCol w:w="1133"/>
        <w:gridCol w:w="1246"/>
      </w:tblGrid>
      <w:tr w:rsidR="003800A9" w:rsidRPr="00F1650A" w14:paraId="4C18EBD5" w14:textId="77777777" w:rsidTr="00297FE4">
        <w:trPr>
          <w:trHeight w:val="20"/>
        </w:trPr>
        <w:tc>
          <w:tcPr>
            <w:tcW w:w="289" w:type="pct"/>
            <w:shd w:val="clear" w:color="000000" w:fill="BFBFBF"/>
            <w:vAlign w:val="center"/>
            <w:hideMark/>
          </w:tcPr>
          <w:p w14:paraId="34A838D9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ap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aps/>
                <w:color w:val="000000"/>
                <w:sz w:val="18"/>
                <w:szCs w:val="18"/>
              </w:rPr>
              <w:t>ΑΑ</w:t>
            </w:r>
          </w:p>
        </w:tc>
        <w:tc>
          <w:tcPr>
            <w:tcW w:w="2526" w:type="pct"/>
            <w:shd w:val="clear" w:color="000000" w:fill="BFBFBF"/>
            <w:vAlign w:val="bottom"/>
            <w:hideMark/>
          </w:tcPr>
          <w:p w14:paraId="34999E2C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ap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aps/>
                <w:color w:val="000000"/>
                <w:sz w:val="18"/>
                <w:szCs w:val="18"/>
              </w:rPr>
              <w:t>Υπηρεσία</w:t>
            </w:r>
          </w:p>
          <w:p w14:paraId="0455C073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shd w:val="clear" w:color="000000" w:fill="BFBFBF"/>
          </w:tcPr>
          <w:p w14:paraId="68C4B3A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Υποχρεωτική Απαίτηση</w:t>
            </w:r>
          </w:p>
        </w:tc>
        <w:tc>
          <w:tcPr>
            <w:tcW w:w="683" w:type="pct"/>
            <w:shd w:val="clear" w:color="000000" w:fill="BFBFBF"/>
          </w:tcPr>
          <w:p w14:paraId="5D2DBAA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Απάντηση προμηθευτή</w:t>
            </w:r>
          </w:p>
        </w:tc>
        <w:tc>
          <w:tcPr>
            <w:tcW w:w="751" w:type="pct"/>
            <w:shd w:val="clear" w:color="000000" w:fill="BFBFBF"/>
          </w:tcPr>
          <w:p w14:paraId="3E5E8B7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Ενότητα</w:t>
            </w:r>
          </w:p>
        </w:tc>
      </w:tr>
      <w:tr w:rsidR="003800A9" w:rsidRPr="00DA2248" w14:paraId="56B5EFBD" w14:textId="77777777" w:rsidTr="00297FE4">
        <w:trPr>
          <w:trHeight w:val="20"/>
        </w:trPr>
        <w:tc>
          <w:tcPr>
            <w:tcW w:w="289" w:type="pct"/>
            <w:shd w:val="clear" w:color="auto" w:fill="C9C9C9" w:themeFill="accent3" w:themeFillTint="99"/>
            <w:noWrap/>
            <w:vAlign w:val="center"/>
            <w:hideMark/>
          </w:tcPr>
          <w:p w14:paraId="731C2C8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526" w:type="pct"/>
            <w:shd w:val="clear" w:color="auto" w:fill="C9C9C9" w:themeFill="accent3" w:themeFillTint="99"/>
            <w:vAlign w:val="bottom"/>
            <w:hideMark/>
          </w:tcPr>
          <w:p w14:paraId="1AE55BAA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ΥΠΗΡΕΣΙΕΣ ΔΙΑΜΟΡΦΩΣΗ ΧΩΡΟΥ ΕΚΘΕΣΗΣ</w:t>
            </w:r>
          </w:p>
        </w:tc>
        <w:tc>
          <w:tcPr>
            <w:tcW w:w="751" w:type="pct"/>
            <w:shd w:val="clear" w:color="auto" w:fill="C9C9C9" w:themeFill="accent3" w:themeFillTint="99"/>
          </w:tcPr>
          <w:p w14:paraId="6BFA3EC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C9C9C9" w:themeFill="accent3" w:themeFillTint="99"/>
          </w:tcPr>
          <w:p w14:paraId="7A475712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C9C9C9" w:themeFill="accent3" w:themeFillTint="99"/>
          </w:tcPr>
          <w:p w14:paraId="1DE4344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</w:tr>
      <w:tr w:rsidR="003800A9" w:rsidRPr="004B4183" w14:paraId="58EE2629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hideMark/>
          </w:tcPr>
          <w:p w14:paraId="1CBB1A1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50E51543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 xml:space="preserve">ΣΤΗΣΙΜΟ ΕΚΘΕΤΗΡΙΩΝ   </w:t>
            </w:r>
          </w:p>
        </w:tc>
        <w:tc>
          <w:tcPr>
            <w:tcW w:w="751" w:type="pct"/>
          </w:tcPr>
          <w:p w14:paraId="7F6D7F8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26C3711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32D60E4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4B4183" w14:paraId="10D07168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hideMark/>
          </w:tcPr>
          <w:p w14:paraId="433ADC7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Α2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4428BECF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ΗΛΕΚΤΡΟΦΩΤΙΣΜΟΣ -ΥΔΡΑΥΛΙΚΑ ΧΩΡΟΥ</w:t>
            </w:r>
          </w:p>
        </w:tc>
        <w:tc>
          <w:tcPr>
            <w:tcW w:w="751" w:type="pct"/>
          </w:tcPr>
          <w:p w14:paraId="6A2CF58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59D3E5D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3125C3A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4B4183" w14:paraId="57D9D326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79B670B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Α3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0FCCD6AF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ΑΙΣΘΗΤΙΚΕΣ ΠΑΡΕΜΒΑΣΕΙΣ ΣΤΟ ΧΩΡΟ</w:t>
            </w:r>
          </w:p>
        </w:tc>
        <w:tc>
          <w:tcPr>
            <w:tcW w:w="751" w:type="pct"/>
          </w:tcPr>
          <w:p w14:paraId="4054A83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0AC5A850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5BD6BB3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4B4183" w14:paraId="12B437F6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86374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Α4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6A03ED98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ΕΝΟΙΚΙΑΣΗ ΕΞΟΠΛΙΣΜΟΥ ΚΟΥΖΙΝΑΣ</w:t>
            </w:r>
          </w:p>
        </w:tc>
        <w:tc>
          <w:tcPr>
            <w:tcW w:w="751" w:type="pct"/>
          </w:tcPr>
          <w:p w14:paraId="33BEC6A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8D78D6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4058334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19DB45DF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D393F0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Α5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1DDF212D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ΑΣΦΑΛΕΙΑ/ ΚΑΘΑΡΙΟΤΗΤΑ ΧΩΡΟΥ</w:t>
            </w:r>
          </w:p>
        </w:tc>
        <w:tc>
          <w:tcPr>
            <w:tcW w:w="751" w:type="pct"/>
          </w:tcPr>
          <w:p w14:paraId="14087DA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24C98CB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63283DE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1266084D" w14:textId="77777777" w:rsidTr="00297FE4">
        <w:trPr>
          <w:trHeight w:val="20"/>
        </w:trPr>
        <w:tc>
          <w:tcPr>
            <w:tcW w:w="289" w:type="pct"/>
            <w:shd w:val="clear" w:color="auto" w:fill="C9C9C9" w:themeFill="accent3" w:themeFillTint="99"/>
            <w:vAlign w:val="center"/>
            <w:hideMark/>
          </w:tcPr>
          <w:p w14:paraId="0C14410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2526" w:type="pct"/>
            <w:shd w:val="clear" w:color="auto" w:fill="C9C9C9" w:themeFill="accent3" w:themeFillTint="99"/>
            <w:vAlign w:val="bottom"/>
            <w:hideMark/>
          </w:tcPr>
          <w:p w14:paraId="000F41D3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ΠΑΡΑΛΛΗΛΕΣ ΕΚΔΗΛΩΣΕΙΣ (ΜΟΥΣΙΚΕΣ &amp; ΕΠΙΣΤΗΜΟΝΙΚΗ ΗΜΕΡΙΔΑ)</w:t>
            </w:r>
          </w:p>
        </w:tc>
        <w:tc>
          <w:tcPr>
            <w:tcW w:w="751" w:type="pct"/>
            <w:shd w:val="clear" w:color="auto" w:fill="C9C9C9" w:themeFill="accent3" w:themeFillTint="99"/>
          </w:tcPr>
          <w:p w14:paraId="645CE96F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C9C9C9" w:themeFill="accent3" w:themeFillTint="99"/>
          </w:tcPr>
          <w:p w14:paraId="5B74207D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C9C9C9" w:themeFill="accent3" w:themeFillTint="99"/>
          </w:tcPr>
          <w:p w14:paraId="110F48B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</w:tr>
      <w:tr w:rsidR="003800A9" w:rsidRPr="00DA2248" w14:paraId="0D89EBAB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5927B2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Β1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4A54BA92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ΒΡΑΔΙΝΕΣ ΣΥΝΑΥΛΙΕΣ</w:t>
            </w:r>
          </w:p>
        </w:tc>
        <w:tc>
          <w:tcPr>
            <w:tcW w:w="751" w:type="pct"/>
          </w:tcPr>
          <w:p w14:paraId="2F8643E3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4CE734E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5CE663A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559C87BB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F22A51B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6F250088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ΜΕΣΗΜΕΡΙΑΝΟ ΜΟΥΣΙΚΟ EVENT</w:t>
            </w:r>
          </w:p>
        </w:tc>
        <w:tc>
          <w:tcPr>
            <w:tcW w:w="751" w:type="pct"/>
          </w:tcPr>
          <w:p w14:paraId="799247D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7BDA9BE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C9BF1EB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BC6C3D" w14:paraId="49B37D62" w14:textId="77777777" w:rsidTr="00297FE4">
        <w:trPr>
          <w:trHeight w:val="20"/>
        </w:trPr>
        <w:tc>
          <w:tcPr>
            <w:tcW w:w="289" w:type="pct"/>
            <w:shd w:val="clear" w:color="auto" w:fill="auto"/>
            <w:vAlign w:val="center"/>
            <w:hideMark/>
          </w:tcPr>
          <w:p w14:paraId="710FF61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Β3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0C608C14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ΓΑΣΤΡΟΝΟΜΙΚΕΣ ΕΚΔΗΛΩΣΕΙΣ</w:t>
            </w:r>
          </w:p>
        </w:tc>
        <w:tc>
          <w:tcPr>
            <w:tcW w:w="751" w:type="pct"/>
          </w:tcPr>
          <w:p w14:paraId="6EEA85E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61FAFF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78AE16F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238D1D2A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DE046D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Β4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315C8BB0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 xml:space="preserve">ΗΜΕΡΙΔΑ </w:t>
            </w:r>
            <w:r w:rsidRPr="00511522">
              <w:rPr>
                <w:rFonts w:cstheme="minorHAnsi"/>
                <w:caps/>
                <w:color w:val="000000"/>
                <w:sz w:val="18"/>
                <w:szCs w:val="18"/>
              </w:rPr>
              <w:t>που άπτεται των θεμάτων που πραγματεύεται το Φεστιβάλ</w:t>
            </w:r>
          </w:p>
        </w:tc>
        <w:tc>
          <w:tcPr>
            <w:tcW w:w="751" w:type="pct"/>
          </w:tcPr>
          <w:p w14:paraId="46679A5B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0F99707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C7C9C8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1D47FF" w14:paraId="1E22E520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A4AA5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Β5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03280D39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ΗΧΗΤΙΚΟΣ ΕΞΟΠΛΙΣΜΟΣ</w:t>
            </w:r>
          </w:p>
        </w:tc>
        <w:tc>
          <w:tcPr>
            <w:tcW w:w="751" w:type="pct"/>
          </w:tcPr>
          <w:p w14:paraId="329004F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5A1B7FF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6C0886A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64A08866" w14:textId="77777777" w:rsidTr="00297FE4">
        <w:trPr>
          <w:trHeight w:val="20"/>
        </w:trPr>
        <w:tc>
          <w:tcPr>
            <w:tcW w:w="289" w:type="pct"/>
            <w:shd w:val="clear" w:color="auto" w:fill="C9C9C9" w:themeFill="accent3" w:themeFillTint="99"/>
            <w:noWrap/>
            <w:vAlign w:val="center"/>
            <w:hideMark/>
          </w:tcPr>
          <w:p w14:paraId="3BBCCD7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Γ</w:t>
            </w:r>
          </w:p>
        </w:tc>
        <w:tc>
          <w:tcPr>
            <w:tcW w:w="2526" w:type="pct"/>
            <w:shd w:val="clear" w:color="auto" w:fill="C9C9C9" w:themeFill="accent3" w:themeFillTint="99"/>
            <w:vAlign w:val="bottom"/>
            <w:hideMark/>
          </w:tcPr>
          <w:p w14:paraId="5523746C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6100"/>
                <w:sz w:val="18"/>
                <w:szCs w:val="18"/>
              </w:rPr>
              <w:t xml:space="preserve">ΥΠΗΡΕΣΙΕΣ ΕΠΙΚΟΙΝΩΝΙΑΣ </w:t>
            </w:r>
          </w:p>
        </w:tc>
        <w:tc>
          <w:tcPr>
            <w:tcW w:w="751" w:type="pct"/>
            <w:shd w:val="clear" w:color="auto" w:fill="C9C9C9" w:themeFill="accent3" w:themeFillTint="99"/>
          </w:tcPr>
          <w:p w14:paraId="4C36286D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C9C9C9" w:themeFill="accent3" w:themeFillTint="99"/>
          </w:tcPr>
          <w:p w14:paraId="54B9CB9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C9C9C9" w:themeFill="accent3" w:themeFillTint="99"/>
          </w:tcPr>
          <w:p w14:paraId="76C45291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</w:tr>
      <w:tr w:rsidR="003800A9" w:rsidRPr="00DA2248" w14:paraId="70903FB2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D9D977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 xml:space="preserve">Γ1 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21C92F24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ΔΗΜΙΟΥΡΓΙΚΟΣ ΣΧΕΔΙΑΣΜΟΣ /ΕΚΤΥΠΩΣΗ ΕΠΙΚΟΙΝΩΝΙΑΚΟΥ ΥΛΙΚΟΥ</w:t>
            </w:r>
          </w:p>
        </w:tc>
        <w:tc>
          <w:tcPr>
            <w:tcW w:w="751" w:type="pct"/>
          </w:tcPr>
          <w:p w14:paraId="3E22297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F9D3BE1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E0F006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10DA6313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hideMark/>
          </w:tcPr>
          <w:p w14:paraId="68E8714B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Γ2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384F3E29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 xml:space="preserve">ΑΝΑΜΝΗΣΤΙΚΑ ΔΩΡΑ FESTIVAL </w:t>
            </w:r>
          </w:p>
        </w:tc>
        <w:tc>
          <w:tcPr>
            <w:tcW w:w="751" w:type="pct"/>
          </w:tcPr>
          <w:p w14:paraId="531084A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BBE121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5C9269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0539D7F2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51778D1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Γ3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1082A426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 xml:space="preserve">ΥΠΗΡΕΣΙΕΣ ΒΙΝΤΕΟΣΚΟΠΗΣΗΣ &amp; ΦΩΤΟΓΡΑΦΙΣΗΣ </w:t>
            </w:r>
          </w:p>
        </w:tc>
        <w:tc>
          <w:tcPr>
            <w:tcW w:w="751" w:type="pct"/>
          </w:tcPr>
          <w:p w14:paraId="7EDFFE72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723167E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6C6BF8EF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78A50382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1E20C7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Γ4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79DC3F2B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ΥΠΗΡΕΣΙΕΣ ΕΠΙΚΟΙΝΩΝΙΑΣ SOCIAL MEDIA</w:t>
            </w:r>
          </w:p>
        </w:tc>
        <w:tc>
          <w:tcPr>
            <w:tcW w:w="751" w:type="pct"/>
          </w:tcPr>
          <w:p w14:paraId="11703C6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19C9DE90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706BF50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636FF512" w14:textId="77777777" w:rsidTr="00297FE4">
        <w:trPr>
          <w:trHeight w:val="20"/>
        </w:trPr>
        <w:tc>
          <w:tcPr>
            <w:tcW w:w="289" w:type="pct"/>
            <w:shd w:val="clear" w:color="auto" w:fill="C9C9C9" w:themeFill="accent3" w:themeFillTint="99"/>
            <w:noWrap/>
            <w:vAlign w:val="center"/>
            <w:hideMark/>
          </w:tcPr>
          <w:p w14:paraId="6D8481F1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Δ</w:t>
            </w:r>
          </w:p>
        </w:tc>
        <w:tc>
          <w:tcPr>
            <w:tcW w:w="2526" w:type="pct"/>
            <w:shd w:val="clear" w:color="auto" w:fill="C9C9C9" w:themeFill="accent3" w:themeFillTint="99"/>
            <w:vAlign w:val="bottom"/>
            <w:hideMark/>
          </w:tcPr>
          <w:p w14:paraId="0F79F42A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ΟΡΓΑΝΩΤΙΚΗ/ΤΕΧΝΙΚΗ ΣΤΗΡΙΞΗ ΔΙΟΡΓΑΝΩΣΗΣ</w:t>
            </w:r>
          </w:p>
        </w:tc>
        <w:tc>
          <w:tcPr>
            <w:tcW w:w="751" w:type="pct"/>
            <w:shd w:val="clear" w:color="auto" w:fill="C9C9C9" w:themeFill="accent3" w:themeFillTint="99"/>
          </w:tcPr>
          <w:p w14:paraId="54989B3D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C9C9C9" w:themeFill="accent3" w:themeFillTint="99"/>
          </w:tcPr>
          <w:p w14:paraId="7D8864E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C9C9C9" w:themeFill="accent3" w:themeFillTint="99"/>
          </w:tcPr>
          <w:p w14:paraId="7493C16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</w:tr>
      <w:tr w:rsidR="003800A9" w:rsidRPr="00DA2248" w14:paraId="45F88DFE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hideMark/>
          </w:tcPr>
          <w:p w14:paraId="59198D3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Δ1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444BD42B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ΟΡΓΑΝΩΤΙΚΗ ΥΠΟΣΤΗΡΙΞΗ ΕΚΔΗΛΩΣΕΩΝ</w:t>
            </w:r>
          </w:p>
        </w:tc>
        <w:tc>
          <w:tcPr>
            <w:tcW w:w="751" w:type="pct"/>
          </w:tcPr>
          <w:p w14:paraId="2C175741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167B261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D71132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6D23E324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6C266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Δ2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2F0A5B85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ΤΕΧΝΙΚΗ ΥΠΟΣΤΗΡΙΞΗ ΤΙΣ ΗΜΕΡΕΣ ΤΩΝ ΕΚΔΗΛΩΣΕΩΝ</w:t>
            </w:r>
          </w:p>
        </w:tc>
        <w:tc>
          <w:tcPr>
            <w:tcW w:w="751" w:type="pct"/>
          </w:tcPr>
          <w:p w14:paraId="3B65BAF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48C31BD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00F7C6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3D75C4FB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4CDBB9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Δ4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33A34DED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ΑΝΑΛΩΣΙΜΑ ΓΡΑΜΜΑΤΕΙΑΣ</w:t>
            </w:r>
          </w:p>
        </w:tc>
        <w:tc>
          <w:tcPr>
            <w:tcW w:w="751" w:type="pct"/>
          </w:tcPr>
          <w:p w14:paraId="1AF1596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7FFE29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6EA4A5B3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699FE675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129BE3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Δ5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66F330F9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ΕΞΟΔΑ ΞΕΝΑΓΗΣΕΩΝ - ΜΕΤΑΦΡΑΣΕΩΝ</w:t>
            </w:r>
          </w:p>
        </w:tc>
        <w:tc>
          <w:tcPr>
            <w:tcW w:w="751" w:type="pct"/>
          </w:tcPr>
          <w:p w14:paraId="1AAAB4A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21E1F9C3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7537680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1385F322" w14:textId="77777777" w:rsidTr="00297FE4">
        <w:trPr>
          <w:trHeight w:val="20"/>
        </w:trPr>
        <w:tc>
          <w:tcPr>
            <w:tcW w:w="289" w:type="pct"/>
            <w:shd w:val="clear" w:color="auto" w:fill="C9C9C9" w:themeFill="accent3" w:themeFillTint="99"/>
            <w:noWrap/>
            <w:vAlign w:val="center"/>
            <w:hideMark/>
          </w:tcPr>
          <w:p w14:paraId="3658FCA2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Ε</w:t>
            </w:r>
          </w:p>
        </w:tc>
        <w:tc>
          <w:tcPr>
            <w:tcW w:w="2526" w:type="pct"/>
            <w:shd w:val="clear" w:color="auto" w:fill="C9C9C9" w:themeFill="accent3" w:themeFillTint="99"/>
            <w:vAlign w:val="bottom"/>
            <w:hideMark/>
          </w:tcPr>
          <w:p w14:paraId="0EE09C6F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ΕΞΟΔΑ ΦΙΛΟΞΕΝΙΑΣ</w:t>
            </w:r>
          </w:p>
        </w:tc>
        <w:tc>
          <w:tcPr>
            <w:tcW w:w="751" w:type="pct"/>
            <w:shd w:val="clear" w:color="auto" w:fill="C9C9C9" w:themeFill="accent3" w:themeFillTint="99"/>
          </w:tcPr>
          <w:p w14:paraId="59DE100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C9C9C9" w:themeFill="accent3" w:themeFillTint="99"/>
          </w:tcPr>
          <w:p w14:paraId="371A0E93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C9C9C9" w:themeFill="accent3" w:themeFillTint="99"/>
          </w:tcPr>
          <w:p w14:paraId="7DADE70E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</w:p>
        </w:tc>
      </w:tr>
      <w:tr w:rsidR="003800A9" w:rsidRPr="00DA2248" w14:paraId="211435EB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4CD1A53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Ε1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1B7793C2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ΕΞΟΔΑ ΜΕΤΑΚΙΝΗΣΕΩΝ (ΚΑΛΛΙΤΕΧΝΩΝ,ΣΕΦ, ΔΗΜΟΣΙΟΓΡΑΦΩΝ,ΚΛΠ)</w:t>
            </w:r>
          </w:p>
        </w:tc>
        <w:tc>
          <w:tcPr>
            <w:tcW w:w="751" w:type="pct"/>
          </w:tcPr>
          <w:p w14:paraId="556C366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36F8E05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59A81AAD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3E4BCBB8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652E66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Ε2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07B1B11C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ΕΞΟΔΑ ΔΙΑΜΟΝΗΣ - ΔΙΑΤΡΟΦΗΣ (ΚΑΛΛΙΤΕΧΝΩΝ, ΣΕΦ, ΔΗΜΟΣΙΟΓΡΑΦΩΝ,ΚΛΠ)</w:t>
            </w:r>
          </w:p>
        </w:tc>
        <w:tc>
          <w:tcPr>
            <w:tcW w:w="751" w:type="pct"/>
          </w:tcPr>
          <w:p w14:paraId="46E43F8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3D6645B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178E0468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DA2248" w14:paraId="0785A1FC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D325AF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Ε3</w:t>
            </w:r>
          </w:p>
        </w:tc>
        <w:tc>
          <w:tcPr>
            <w:tcW w:w="2526" w:type="pct"/>
            <w:shd w:val="clear" w:color="auto" w:fill="auto"/>
            <w:noWrap/>
            <w:vAlign w:val="bottom"/>
            <w:hideMark/>
          </w:tcPr>
          <w:p w14:paraId="4B59B497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ΕΠΙΣΗΜΟ ΔΕΙΠΝΟ ΕΝΑΡΞΗΣ ΕΡΓΑΣΙΩΝ ΕΚΔΗΛΩΣΕΩΝ</w:t>
            </w:r>
          </w:p>
        </w:tc>
        <w:tc>
          <w:tcPr>
            <w:tcW w:w="751" w:type="pct"/>
          </w:tcPr>
          <w:p w14:paraId="4B71F52C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6DD77D89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7EF7E7D4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800A9" w:rsidRPr="001D47FF" w14:paraId="23266347" w14:textId="77777777" w:rsidTr="00297FE4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</w:tcPr>
          <w:p w14:paraId="2CA3FEAA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522">
              <w:rPr>
                <w:rFonts w:cstheme="minorHAnsi"/>
                <w:b/>
                <w:bCs/>
                <w:sz w:val="18"/>
                <w:szCs w:val="18"/>
              </w:rPr>
              <w:t>Ε4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2A6D897D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Cs/>
                <w:caps/>
                <w:color w:val="000000" w:themeColor="text1"/>
                <w:sz w:val="18"/>
                <w:szCs w:val="18"/>
              </w:rPr>
            </w:pPr>
            <w:r w:rsidRPr="00511522">
              <w:rPr>
                <w:rFonts w:cstheme="minorHAnsi"/>
                <w:bCs/>
                <w:caps/>
                <w:color w:val="000000" w:themeColor="text1"/>
                <w:sz w:val="18"/>
                <w:szCs w:val="18"/>
              </w:rPr>
              <w:t>Ταξίδια εξοικείωσης δημοσιογράφων γαστρονομίας και blogger</w:t>
            </w:r>
          </w:p>
        </w:tc>
        <w:tc>
          <w:tcPr>
            <w:tcW w:w="751" w:type="pct"/>
          </w:tcPr>
          <w:p w14:paraId="4740500F" w14:textId="77777777" w:rsidR="003800A9" w:rsidRPr="00511522" w:rsidRDefault="003800A9" w:rsidP="00297F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522">
              <w:rPr>
                <w:rFonts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683" w:type="pct"/>
          </w:tcPr>
          <w:p w14:paraId="094C2C84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</w:tcPr>
          <w:p w14:paraId="4A5467FE" w14:textId="77777777" w:rsidR="003800A9" w:rsidRPr="00511522" w:rsidRDefault="003800A9" w:rsidP="00297FE4">
            <w:pPr>
              <w:spacing w:after="0" w:line="240" w:lineRule="auto"/>
              <w:rPr>
                <w:rFonts w:cstheme="minorHAnsi"/>
                <w:bCs/>
                <w:caps/>
                <w:color w:val="000000" w:themeColor="text1"/>
                <w:sz w:val="18"/>
                <w:szCs w:val="18"/>
              </w:rPr>
            </w:pPr>
          </w:p>
        </w:tc>
      </w:tr>
    </w:tbl>
    <w:p w14:paraId="10A2AA04" w14:textId="2E6BC641" w:rsidR="003800A9" w:rsidRDefault="003800A9"/>
    <w:p w14:paraId="707C4FA9" w14:textId="77777777" w:rsidR="003800A9" w:rsidRPr="003800A9" w:rsidRDefault="003800A9" w:rsidP="003800A9">
      <w:pPr>
        <w:jc w:val="center"/>
        <w:rPr>
          <w:b/>
          <w:bCs/>
        </w:rPr>
      </w:pPr>
      <w:r w:rsidRPr="003800A9">
        <w:rPr>
          <w:b/>
          <w:bCs/>
        </w:rPr>
        <w:t>Σφραγίδα &amp; Υπογραφή</w:t>
      </w:r>
    </w:p>
    <w:p w14:paraId="77A16B86" w14:textId="6C08EDA5" w:rsidR="003800A9" w:rsidRPr="003800A9" w:rsidRDefault="003800A9" w:rsidP="003800A9">
      <w:pPr>
        <w:jc w:val="center"/>
        <w:rPr>
          <w:b/>
          <w:bCs/>
        </w:rPr>
      </w:pPr>
      <w:r w:rsidRPr="003800A9">
        <w:rPr>
          <w:b/>
          <w:bCs/>
        </w:rPr>
        <w:t>Νόμιμου Εκπροσώπου</w:t>
      </w:r>
    </w:p>
    <w:sectPr w:rsidR="003800A9" w:rsidRPr="00380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9"/>
    <w:rsid w:val="003800A9"/>
    <w:rsid w:val="006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2B01"/>
  <w15:chartTrackingRefBased/>
  <w15:docId w15:val="{6E64741A-B1A1-4B2E-BFC9-DF6E8AC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1"/>
    <w:uiPriority w:val="99"/>
    <w:qFormat/>
    <w:rsid w:val="00380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uiPriority w:val="9"/>
    <w:rsid w:val="00380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Char1">
    <w:name w:val="Επικεφαλίδα 1 Char1"/>
    <w:basedOn w:val="a0"/>
    <w:link w:val="1"/>
    <w:uiPriority w:val="99"/>
    <w:rsid w:val="003800A9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2021-05-27T09:32:00Z</dcterms:created>
  <dcterms:modified xsi:type="dcterms:W3CDTF">2021-05-27T09:36:00Z</dcterms:modified>
</cp:coreProperties>
</file>